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color w:val="auto"/>
          <w:lang w:val="bg-BG"/>
        </w:rPr>
      </w:pPr>
      <w:r>
        <w:rPr>
          <w:rFonts w:hint="default" w:ascii="Times New Roman" w:hAnsi="Times New Roman" w:cs="Times New Roman"/>
          <w:b/>
          <w:color w:val="auto"/>
          <w:lang w:val="bg-BG"/>
        </w:rPr>
        <w:t>Назив конкурса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sr-Cyrl-BA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 xml:space="preserve">Циљ конкурса 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и </w:t>
      </w: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правни основ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за његово расписивање</w:t>
      </w:r>
      <w:r>
        <w:rPr>
          <w:rFonts w:hint="default" w:ascii="Times New Roman" w:hAnsi="Times New Roman" w:cs="Times New Roman"/>
          <w:color w:val="auto"/>
          <w:lang w:val="sr-Cyrl-BA"/>
        </w:rPr>
        <w:t xml:space="preserve">: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Јавни конкурс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 xml:space="preserve">се расписује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за подстицање програма или недостајућег дела средстава за финансирање програма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 xml:space="preserve"> и пројеката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од јавног интереса за општину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 xml:space="preserve"> Србобран,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које реализују удружења у области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социјалне и здравствене заштите и остала удружења. Под осталим удружењима, у смислу овог јавног конкурса, сматрају се удружења основана за остваривање циљева у следећим областима: борачко - инвалидска заштита, заштита животиња, подстицање и развој занатства, старих и ретких заната, заштита потрошача, заштита и промовисање људских и мањинских права, хуманитарни рад, омладински активизам, друштвена брига о деци, помоћ старима, образовање, друге, ванпривредне области које се не могу сврстати у област спорта, културе, туризма и ловног туризма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.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</w:t>
      </w:r>
      <w:r>
        <w:rPr>
          <w:rFonts w:hint="default" w:ascii="Times New Roman" w:hAnsi="Times New Roman" w:cs="Times New Roman"/>
          <w:color w:val="auto"/>
          <w:lang w:val="sr-Cyrl-BA"/>
        </w:rPr>
        <w:t xml:space="preserve">Правни основ: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Уредб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а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ој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16/2018)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,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sr-Cyrl-BA"/>
        </w:rPr>
        <w:t xml:space="preserve"> 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bg-BG"/>
        </w:rPr>
        <w:t xml:space="preserve">Одлуком о буџету 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sr-Cyrl-BA"/>
        </w:rPr>
        <w:t>општине Србобран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bg-BG"/>
        </w:rPr>
        <w:t xml:space="preserve"> за 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sr-Cyrl-BA"/>
        </w:rPr>
        <w:t>2021.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bg-BG"/>
        </w:rPr>
        <w:t xml:space="preserve"> год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sr-Cyrl-BA"/>
        </w:rPr>
        <w:t>ину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bg-BG"/>
        </w:rPr>
        <w:t xml:space="preserve"> 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sr-Cyrl-BA"/>
        </w:rPr>
        <w:t xml:space="preserve">(“Службени лист општине Србобран” број </w:t>
      </w:r>
      <w:r>
        <w:rPr>
          <w:rFonts w:hint="default" w:ascii="Times New Roman" w:hAnsi="Times New Roman" w:cs="Times New Roman"/>
          <w:color w:val="0000FF"/>
          <w:sz w:val="23"/>
          <w:szCs w:val="23"/>
          <w:lang w:val="sr-Cyrl-BA"/>
        </w:rPr>
        <w:t>20/2019 и 8/2021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sr-Cyrl-BA"/>
        </w:rPr>
        <w:t>),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bg-BG"/>
        </w:rPr>
        <w:t xml:space="preserve"> </w:t>
      </w:r>
      <w:r>
        <w:rPr>
          <w:rFonts w:hint="default" w:ascii="Times New Roman" w:hAnsi="Times New Roman" w:cs="Times New Roman"/>
          <w:color w:val="0000FF"/>
          <w:szCs w:val="24"/>
        </w:rPr>
        <w:t xml:space="preserve"> </w:t>
      </w:r>
      <w:r>
        <w:rPr>
          <w:rFonts w:hint="default" w:ascii="Times New Roman" w:hAnsi="Times New Roman" w:cs="Times New Roman"/>
          <w:color w:val="0000FF"/>
          <w:szCs w:val="24"/>
          <w:lang w:val="sr-Cyrl-BA"/>
        </w:rPr>
        <w:t>Одлуком о поступку доделе и контроле коришћења средстава за подстицање програма или недостајућег дела средстава за финансирање програма од јавног интереса који реализују удружења</w:t>
      </w:r>
      <w:r>
        <w:rPr>
          <w:rFonts w:hint="default" w:ascii="Times New Roman" w:hAnsi="Times New Roman" w:cs="Times New Roman"/>
          <w:color w:val="0000FF"/>
          <w:szCs w:val="24"/>
        </w:rPr>
        <w:t xml:space="preserve"> („Службени лист општине Србобран“, број: </w:t>
      </w:r>
      <w:r>
        <w:rPr>
          <w:rFonts w:hint="default" w:ascii="Times New Roman" w:hAnsi="Times New Roman" w:cs="Times New Roman"/>
          <w:color w:val="0000FF"/>
          <w:szCs w:val="24"/>
          <w:lang w:val="sr-Cyrl-BA"/>
        </w:rPr>
        <w:t>9</w:t>
      </w:r>
      <w:r>
        <w:rPr>
          <w:rFonts w:hint="default" w:ascii="Times New Roman" w:hAnsi="Times New Roman" w:cs="Times New Roman"/>
          <w:color w:val="0000FF"/>
          <w:szCs w:val="24"/>
        </w:rPr>
        <w:t>/20</w:t>
      </w:r>
      <w:r>
        <w:rPr>
          <w:rFonts w:hint="default" w:ascii="Times New Roman" w:hAnsi="Times New Roman" w:cs="Times New Roman"/>
          <w:color w:val="0000FF"/>
          <w:szCs w:val="24"/>
          <w:lang w:val="sr-Cyrl-BA"/>
        </w:rPr>
        <w:t>20</w:t>
      </w:r>
      <w:r>
        <w:rPr>
          <w:rFonts w:hint="default" w:ascii="Times New Roman" w:hAnsi="Times New Roman" w:cs="Times New Roman"/>
          <w:color w:val="0000FF"/>
          <w:szCs w:val="24"/>
        </w:rPr>
        <w:t>)</w:t>
      </w:r>
      <w:r>
        <w:rPr>
          <w:rFonts w:hint="default"/>
          <w:color w:val="0000FF"/>
          <w:szCs w:val="24"/>
          <w:lang w:val="sr-Cyrl-BA"/>
        </w:rPr>
        <w:t xml:space="preserve"> 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bg-BG"/>
        </w:rPr>
        <w:t xml:space="preserve">и Годишњим планом јавних конкурса 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sr-Cyrl-BA"/>
        </w:rPr>
        <w:t>општине Србобран за 202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sr-Latn-RS"/>
        </w:rPr>
        <w:t>1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sr-Cyrl-BA"/>
        </w:rPr>
        <w:t xml:space="preserve">. годину,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sr-Cyrl-BA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en-GB"/>
        </w:rPr>
        <w:t>40-</w:t>
      </w:r>
      <w:r>
        <w:rPr>
          <w:rFonts w:hint="default" w:ascii="Times New Roman" w:hAnsi="Times New Roman" w:cs="Times New Roman"/>
          <w:sz w:val="22"/>
          <w:szCs w:val="22"/>
          <w:lang w:val="sr-Latn-RS"/>
        </w:rPr>
        <w:t>6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/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-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>I</w:t>
      </w:r>
      <w:r>
        <w:rPr>
          <w:rFonts w:hint="default" w:ascii="Times New Roman" w:hAnsi="Times New Roman" w:cs="Times New Roman"/>
          <w:sz w:val="22"/>
          <w:szCs w:val="22"/>
          <w:lang w:val="en-GB"/>
        </w:rPr>
        <w:t>I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sr-Cyrl-BA"/>
        </w:rPr>
        <w:t xml:space="preserve"> од </w:t>
      </w:r>
      <w:r>
        <w:rPr>
          <w:rFonts w:hint="default" w:ascii="Times New Roman" w:hAnsi="Times New Roman" w:cs="Times New Roman"/>
          <w:sz w:val="22"/>
          <w:szCs w:val="22"/>
          <w:lang w:val="sr-Latn-RS"/>
        </w:rPr>
        <w:t>29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sr-Latn-RS"/>
        </w:rPr>
        <w:t>12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>.20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>20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sr-Cyrl-BA"/>
        </w:rPr>
        <w:t xml:space="preserve"> године,  </w:t>
      </w:r>
      <w:r>
        <w:rPr>
          <w:rFonts w:hint="default" w:ascii="Times New Roman" w:hAnsi="Times New Roman" w:cs="Times New Roman"/>
          <w:color w:val="0000FF"/>
          <w:sz w:val="22"/>
          <w:szCs w:val="22"/>
          <w:lang w:val="sr-Cyrl-BA"/>
        </w:rPr>
        <w:t xml:space="preserve">број: </w:t>
      </w:r>
      <w:r>
        <w:rPr>
          <w:rFonts w:hint="default" w:ascii="Times New Roman" w:hAnsi="Times New Roman" w:cs="Times New Roman"/>
          <w:sz w:val="22"/>
          <w:szCs w:val="22"/>
          <w:lang w:val="en-GB"/>
        </w:rPr>
        <w:t>40-</w:t>
      </w:r>
      <w:r>
        <w:rPr>
          <w:rFonts w:hint="default" w:ascii="Times New Roman" w:hAnsi="Times New Roman" w:cs="Times New Roman"/>
          <w:sz w:val="22"/>
          <w:szCs w:val="22"/>
          <w:lang w:val="sr-Latn-RS"/>
        </w:rPr>
        <w:t>7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/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>2</w:t>
      </w:r>
      <w:r>
        <w:rPr>
          <w:rFonts w:hint="default" w:ascii="Times New Roman" w:hAnsi="Times New Roman" w:cs="Times New Roman"/>
          <w:sz w:val="22"/>
          <w:szCs w:val="22"/>
          <w:lang w:val="sr-Latn-RS"/>
        </w:rPr>
        <w:t>1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-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>I</w:t>
      </w:r>
      <w:r>
        <w:rPr>
          <w:rFonts w:hint="default" w:ascii="Times New Roman" w:hAnsi="Times New Roman" w:cs="Times New Roman"/>
          <w:sz w:val="22"/>
          <w:szCs w:val="22"/>
          <w:lang w:val="en-GB"/>
        </w:rPr>
        <w:t>I</w:t>
      </w:r>
      <w:r>
        <w:rPr>
          <w:rFonts w:hint="default" w:ascii="Times New Roman" w:hAnsi="Times New Roman" w:cs="Times New Roman"/>
          <w:color w:val="0000FF"/>
          <w:sz w:val="22"/>
          <w:szCs w:val="22"/>
          <w:lang w:val="sr-Cyrl-BA"/>
        </w:rPr>
        <w:t xml:space="preserve"> од </w:t>
      </w:r>
      <w:r>
        <w:rPr>
          <w:rFonts w:hint="default" w:ascii="Times New Roman" w:hAnsi="Times New Roman" w:cs="Times New Roman"/>
          <w:sz w:val="22"/>
          <w:szCs w:val="22"/>
          <w:lang w:val="sr-Latn-RS"/>
        </w:rPr>
        <w:t>08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sr-Latn-RS"/>
        </w:rPr>
        <w:t>04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>.20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>2</w:t>
      </w:r>
      <w:r>
        <w:rPr>
          <w:rFonts w:hint="default" w:ascii="Times New Roman" w:hAnsi="Times New Roman" w:cs="Times New Roman"/>
          <w:sz w:val="22"/>
          <w:szCs w:val="22"/>
          <w:lang w:val="sr-Latn-RS"/>
        </w:rPr>
        <w:t xml:space="preserve">1. 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>и број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color w:val="0000FF"/>
          <w:sz w:val="22"/>
          <w:szCs w:val="22"/>
          <w:lang w:val="en-GB"/>
        </w:rPr>
        <w:t>40-</w:t>
      </w:r>
      <w:r>
        <w:rPr>
          <w:rFonts w:hint="default" w:ascii="Times New Roman" w:hAnsi="Times New Roman" w:cs="Times New Roman"/>
          <w:color w:val="0000FF"/>
          <w:sz w:val="22"/>
          <w:szCs w:val="22"/>
          <w:lang w:val="sr-Cyrl-BA"/>
        </w:rPr>
        <w:t>8</w:t>
      </w:r>
      <w:r>
        <w:rPr>
          <w:rFonts w:hint="default" w:ascii="Times New Roman" w:hAnsi="Times New Roman" w:cs="Times New Roman"/>
          <w:color w:val="0000FF"/>
          <w:sz w:val="22"/>
          <w:szCs w:val="22"/>
          <w:lang w:val="sr-Cyrl-CS"/>
        </w:rPr>
        <w:t>/</w:t>
      </w:r>
      <w:r>
        <w:rPr>
          <w:rFonts w:hint="default" w:ascii="Times New Roman" w:hAnsi="Times New Roman" w:cs="Times New Roman"/>
          <w:color w:val="0000FF"/>
          <w:sz w:val="22"/>
          <w:szCs w:val="22"/>
          <w:lang w:val="sr-Cyrl-BA"/>
        </w:rPr>
        <w:t>2</w:t>
      </w:r>
      <w:r>
        <w:rPr>
          <w:rFonts w:hint="default" w:ascii="Times New Roman" w:hAnsi="Times New Roman" w:cs="Times New Roman"/>
          <w:color w:val="0000FF"/>
          <w:sz w:val="22"/>
          <w:szCs w:val="22"/>
          <w:lang w:val="sr-Latn-RS"/>
        </w:rPr>
        <w:t>1</w:t>
      </w:r>
      <w:r>
        <w:rPr>
          <w:rFonts w:hint="default" w:ascii="Times New Roman" w:hAnsi="Times New Roman" w:cs="Times New Roman"/>
          <w:color w:val="0000FF"/>
          <w:sz w:val="22"/>
          <w:szCs w:val="22"/>
          <w:lang w:val="sr-Cyrl-CS"/>
        </w:rPr>
        <w:t>-</w:t>
      </w:r>
      <w:r>
        <w:rPr>
          <w:rFonts w:hint="default" w:ascii="Times New Roman" w:hAnsi="Times New Roman" w:cs="Times New Roman"/>
          <w:color w:val="0000FF"/>
          <w:sz w:val="22"/>
          <w:szCs w:val="22"/>
          <w:lang w:val="sr-Latn-CS"/>
        </w:rPr>
        <w:t>I</w:t>
      </w:r>
      <w:r>
        <w:rPr>
          <w:rFonts w:hint="default" w:ascii="Times New Roman" w:hAnsi="Times New Roman" w:cs="Times New Roman"/>
          <w:color w:val="0000FF"/>
          <w:sz w:val="22"/>
          <w:szCs w:val="22"/>
          <w:lang w:val="en-GB"/>
        </w:rPr>
        <w:t>I</w:t>
      </w:r>
      <w:r>
        <w:rPr>
          <w:rFonts w:hint="default" w:ascii="Times New Roman" w:hAnsi="Times New Roman" w:cs="Times New Roman"/>
          <w:color w:val="0000FF"/>
          <w:sz w:val="22"/>
          <w:szCs w:val="22"/>
          <w:lang w:val="sr-Cyrl-BA"/>
        </w:rPr>
        <w:t xml:space="preserve"> од 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>23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sr-Latn-RS"/>
        </w:rPr>
        <w:t>04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>.20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>2</w:t>
      </w:r>
      <w:r>
        <w:rPr>
          <w:rFonts w:hint="default" w:ascii="Times New Roman" w:hAnsi="Times New Roman" w:cs="Times New Roman"/>
          <w:sz w:val="22"/>
          <w:szCs w:val="22"/>
          <w:lang w:val="sr-Latn-RS"/>
        </w:rPr>
        <w:t>1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годин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>е.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color w:val="auto"/>
          <w:lang w:val="bg-BG"/>
        </w:rPr>
      </w:pPr>
      <w:r>
        <w:rPr>
          <w:rFonts w:hint="default" w:ascii="Times New Roman" w:hAnsi="Times New Roman" w:cs="Times New Roman"/>
          <w:b/>
          <w:color w:val="auto"/>
          <w:lang w:val="bg-BG"/>
        </w:rPr>
        <w:t>Основни услови конкурса:</w:t>
      </w:r>
    </w:p>
    <w:p>
      <w:pPr>
        <w:pStyle w:val="7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тип организације</w:t>
      </w:r>
      <w:r>
        <w:rPr>
          <w:rFonts w:hint="default" w:ascii="Times New Roman" w:hAnsi="Times New Roman" w:cs="Times New Roman"/>
          <w:b/>
          <w:bCs/>
          <w:color w:val="auto"/>
          <w:lang w:val="en-GB"/>
        </w:rPr>
        <w:t>:</w:t>
      </w:r>
      <w:r>
        <w:rPr>
          <w:rFonts w:hint="default" w:ascii="Times New Roman" w:hAnsi="Times New Roman" w:cs="Times New Roman"/>
          <w:b w:val="0"/>
          <w:bCs w:val="0"/>
          <w:color w:val="auto"/>
          <w:lang w:val="sr-Cyrl-BA"/>
        </w:rPr>
        <w:t xml:space="preserve"> удружење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Latn-RS"/>
        </w:rPr>
        <w:t>,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99/2011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Latn-RS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RS"/>
        </w:rPr>
        <w:t>и 44/2018.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)</w:t>
      </w:r>
    </w:p>
    <w:p>
      <w:pPr>
        <w:pStyle w:val="7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формални услови</w:t>
      </w:r>
      <w:r>
        <w:rPr>
          <w:rFonts w:hint="default" w:ascii="Times New Roman" w:hAnsi="Times New Roman" w:cs="Times New Roman"/>
          <w:b/>
          <w:bCs/>
          <w:color w:val="auto"/>
        </w:rPr>
        <w:t xml:space="preserve"> </w:t>
      </w:r>
      <w:r>
        <w:rPr>
          <w:rFonts w:hint="default" w:ascii="Times New Roman" w:hAnsi="Times New Roman" w:cs="Times New Roman"/>
          <w:color w:val="auto"/>
          <w:lang w:val="bg-BG"/>
        </w:rPr>
        <w:t>које</w:t>
      </w:r>
      <w:r>
        <w:rPr>
          <w:rFonts w:hint="default" w:ascii="Times New Roman" w:hAnsi="Times New Roman" w:cs="Times New Roman"/>
          <w:color w:val="auto"/>
        </w:rPr>
        <w:t xml:space="preserve"> </w:t>
      </w:r>
      <w:r>
        <w:rPr>
          <w:rFonts w:hint="default" w:ascii="Times New Roman" w:hAnsi="Times New Roman" w:cs="Times New Roman"/>
          <w:color w:val="auto"/>
          <w:lang w:val="bg-BG"/>
        </w:rPr>
        <w:t>предлагачи</w:t>
      </w:r>
      <w:r>
        <w:rPr>
          <w:rFonts w:hint="default" w:ascii="Times New Roman" w:hAnsi="Times New Roman" w:cs="Times New Roman"/>
          <w:color w:val="auto"/>
        </w:rPr>
        <w:t xml:space="preserve"> </w:t>
      </w:r>
      <w:r>
        <w:rPr>
          <w:rFonts w:hint="default" w:ascii="Times New Roman" w:hAnsi="Times New Roman" w:cs="Times New Roman"/>
          <w:color w:val="auto"/>
          <w:lang w:val="bg-BG"/>
        </w:rPr>
        <w:t>морају да задовоље</w:t>
      </w:r>
      <w:r>
        <w:rPr>
          <w:rFonts w:hint="default" w:ascii="Times New Roman" w:hAnsi="Times New Roman" w:cs="Times New Roman"/>
          <w:color w:val="auto"/>
          <w:lang w:val="sr-Cyrl-BA"/>
        </w:rPr>
        <w:t>: удружење мора бити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 xml:space="preserve"> регистровано најмање 6 месеци за обављање делатности из области за коју се конкурс расписује и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>
      <w:pPr>
        <w:pStyle w:val="7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посебни услови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које предлагачи програма морају да задовоље</w:t>
      </w:r>
      <w:r>
        <w:rPr>
          <w:rFonts w:hint="default" w:ascii="Times New Roman" w:hAnsi="Times New Roman" w:cs="Times New Roman"/>
          <w:color w:val="auto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sr-Cyrl-BA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Буџет пројекта</w:t>
      </w:r>
      <w:r>
        <w:rPr>
          <w:rFonts w:hint="default" w:ascii="Times New Roman" w:hAnsi="Times New Roman" w:cs="Times New Roman"/>
          <w:color w:val="auto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>
        <w:rPr>
          <w:rFonts w:hint="default" w:ascii="Times New Roman" w:hAnsi="Times New Roman" w:cs="Times New Roman"/>
          <w:color w:val="auto"/>
          <w:lang w:val="sr-Cyrl-BA"/>
        </w:rPr>
        <w:t>: најмање 50.000,00 динара, највише 500.000,00 динара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Структура буџета пројекта и висина прихватљивих трошкова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Табела структуре буџета и висине буџетских категорија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(подела трошкова према буџетској категорији – </w:t>
      </w:r>
      <w:r>
        <w:rPr>
          <w:rFonts w:hint="default" w:ascii="Times New Roman" w:hAnsi="Times New Roman" w:cs="Times New Roman"/>
          <w:i/>
          <w:iCs/>
          <w:color w:val="auto"/>
          <w:lang w:val="bg-BG"/>
        </w:rPr>
        <w:t>људски ресурси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hint="default" w:ascii="Times New Roman" w:hAnsi="Times New Roman" w:cs="Times New Roman"/>
          <w:i/>
          <w:iCs/>
          <w:color w:val="auto"/>
          <w:lang w:val="bg-BG"/>
        </w:rPr>
        <w:t>трошкови за пројектне активности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hint="default" w:ascii="Times New Roman" w:hAnsi="Times New Roman" w:cs="Times New Roman"/>
          <w:i/>
          <w:iCs/>
          <w:color w:val="auto"/>
          <w:lang w:val="bg-BG"/>
        </w:rPr>
        <w:t>трошкови локалне канцеларије који настају реализацијом пројекта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hint="default" w:ascii="Times New Roman" w:hAnsi="Times New Roman" w:cs="Times New Roman"/>
          <w:i/>
          <w:iCs/>
          <w:color w:val="auto"/>
          <w:lang w:val="bg-BG"/>
        </w:rPr>
        <w:t xml:space="preserve">остали трошкови, услуге </w:t>
      </w:r>
      <w:r>
        <w:rPr>
          <w:rFonts w:hint="default" w:ascii="Times New Roman" w:hAnsi="Times New Roman" w:cs="Times New Roman"/>
          <w:color w:val="auto"/>
          <w:lang w:val="bg-BG"/>
        </w:rPr>
        <w:t>(штампање материјала, евалуација пројекта, конференције и семинари, промотивне активности, банкарске провизије и сл.)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sr-Cyrl-BA"/>
        </w:rPr>
      </w:pPr>
      <w:r>
        <w:rPr>
          <w:rFonts w:hint="default" w:ascii="Times New Roman" w:hAnsi="Times New Roman" w:cs="Times New Roman"/>
          <w:color w:val="auto"/>
          <w:lang w:val="bg-BG"/>
        </w:rPr>
        <w:t xml:space="preserve">Предвиђено </w:t>
      </w:r>
      <w:r>
        <w:rPr>
          <w:rFonts w:hint="default" w:ascii="Times New Roman" w:hAnsi="Times New Roman" w:cs="Times New Roman"/>
          <w:b/>
          <w:bCs/>
          <w:color w:val="auto"/>
          <w:lang w:val="bg-BG"/>
        </w:rPr>
        <w:t xml:space="preserve">трајање </w:t>
      </w:r>
      <w:r>
        <w:rPr>
          <w:rFonts w:hint="default" w:ascii="Times New Roman" w:hAnsi="Times New Roman" w:cs="Times New Roman"/>
          <w:color w:val="auto"/>
          <w:lang w:val="bg-BG"/>
        </w:rPr>
        <w:t>пројекта</w:t>
      </w:r>
      <w:r>
        <w:rPr>
          <w:rFonts w:hint="default" w:ascii="Times New Roman" w:hAnsi="Times New Roman" w:cs="Times New Roman"/>
          <w:color w:val="auto"/>
          <w:lang w:val="en-GB"/>
        </w:rPr>
        <w:t xml:space="preserve">: </w:t>
      </w:r>
      <w:r>
        <w:rPr>
          <w:rFonts w:hint="default" w:ascii="Times New Roman" w:hAnsi="Times New Roman" w:cs="Times New Roman"/>
          <w:color w:val="auto"/>
          <w:lang w:val="sr-Cyrl-BA"/>
        </w:rPr>
        <w:t>најдуже до краја 2021. године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sr-Cyrl-BA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Локација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на којој се очекује да ће се подржани пројекат реализовати</w:t>
      </w:r>
      <w:r>
        <w:rPr>
          <w:rFonts w:hint="default" w:ascii="Times New Roman" w:hAnsi="Times New Roman" w:cs="Times New Roman"/>
          <w:color w:val="auto"/>
          <w:lang w:val="sr-Cyrl-BA"/>
        </w:rPr>
        <w:t>: територија општине Србобран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sr-Cyrl-BA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Број предлога пројекта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hint="default" w:ascii="Times New Roman" w:hAnsi="Times New Roman" w:cs="Times New Roman"/>
          <w:color w:val="auto"/>
          <w:lang w:val="sr-Cyrl-BA"/>
        </w:rPr>
        <w:t>: 1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sr-Cyrl-BA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Износ средстава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предвиђених за конкурс</w:t>
      </w:r>
      <w:r>
        <w:rPr>
          <w:rFonts w:hint="default" w:ascii="Times New Roman" w:hAnsi="Times New Roman" w:cs="Times New Roman"/>
          <w:color w:val="auto"/>
          <w:lang w:val="sr-Cyrl-BA"/>
        </w:rPr>
        <w:t>: укупно 700.000,00 динара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Елементи предлога пројекта и начин њиховог вредновања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 xml:space="preserve">Дефинисани </w:t>
      </w: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приоритети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Критеријуми за вредновање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предлога пројеката, који, на пример, могу бити следећи: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 xml:space="preserve">адекватно партнерство – уколико се конкурсом жели утврдити обавеза партнерства; 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релевантност програма или пројекта за остваривање јавног интереса дефинисаног конкурсом;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усклађеност планираних активности са циљевима, очекиваним резултатима и циљном групом;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развојна, институционална и финансијска одрживост предложеног програма/пројекта;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значај промене која се очекује након примене пројекта;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економска оправданост предлога буџета у односу на циљ и пројектне активности;</w:t>
      </w:r>
    </w:p>
    <w:p>
      <w:pPr>
        <w:pStyle w:val="7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При одобравању, приоритет имају програми/пројекти који су структурне и развојне природе.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hint="default" w:ascii="Times New Roman" w:hAnsi="Times New Roman" w:cs="Times New Roman"/>
          <w:color w:val="auto"/>
          <w:lang w:val="sr-Cyrl-BA"/>
        </w:rPr>
        <w:t>општине Србобран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постигну намеравани резултати.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hint="default" w:ascii="Times New Roman" w:hAnsi="Times New Roman" w:cs="Times New Roman"/>
          <w:b/>
          <w:bCs/>
          <w:color w:val="auto"/>
          <w:lang w:val="bg-BG"/>
        </w:rPr>
        <w:t>Управе за трезор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. 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 xml:space="preserve">Са предлагачем одобреног програма/пројекта </w:t>
      </w:r>
      <w:r>
        <w:rPr>
          <w:rFonts w:hint="default" w:ascii="Times New Roman" w:hAnsi="Times New Roman" w:cs="Times New Roman"/>
          <w:color w:val="auto"/>
          <w:lang w:val="sr-Cyrl-BA"/>
        </w:rPr>
        <w:t>општина Србобран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>
      <w:pPr>
        <w:pStyle w:val="7"/>
        <w:numPr>
          <w:ilvl w:val="0"/>
          <w:numId w:val="0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Рокови и начин пријављивања на конкурс подразумевају следеће: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информације о начину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пријављивања</w:t>
      </w:r>
      <w:r>
        <w:rPr>
          <w:rFonts w:hint="default" w:ascii="Times New Roman" w:hAnsi="Times New Roman" w:cs="Times New Roman"/>
          <w:color w:val="auto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>
      <w:pPr>
        <w:pStyle w:val="7"/>
        <w:numPr>
          <w:ilvl w:val="0"/>
          <w:numId w:val="0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firstLine="240" w:firstLineChars="100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Учесник конкурса обавезан је да достави следећу документацију: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Потписану и оверену изјаву овлашћеног лица, да ће средства користити по програму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Наративни извештај о реализованим програмима за 2020. годину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рок за достављање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пријава</w:t>
      </w:r>
      <w:r>
        <w:rPr>
          <w:rFonts w:hint="default" w:ascii="Times New Roman" w:hAnsi="Times New Roman" w:cs="Times New Roman"/>
          <w:color w:val="auto"/>
          <w:lang w:val="sr-Cyrl-BA"/>
        </w:rPr>
        <w:t>: 15 дана од дана објављивања јавног конкурса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*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контакт подаци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hint="default" w:ascii="Times New Roman" w:hAnsi="Times New Roman" w:cs="Times New Roman"/>
          <w:color w:val="auto"/>
          <w:lang w:val="sr-Cyrl-BA"/>
        </w:rPr>
        <w:t>: Снежана Бајић</w:t>
      </w:r>
      <w:bookmarkStart w:id="0" w:name="_GoBack"/>
      <w:bookmarkEnd w:id="0"/>
      <w:r>
        <w:rPr>
          <w:rFonts w:hint="default" w:ascii="Times New Roman" w:hAnsi="Times New Roman" w:cs="Times New Roman"/>
          <w:color w:val="auto"/>
          <w:lang w:val="sr-Cyrl-BA"/>
        </w:rPr>
        <w:t xml:space="preserve">,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број телефона 021/730-020, локал 113 или путем електронске поште на адресу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Latn-RS"/>
        </w:rPr>
        <w:t>snezana2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@srbobran48.rs.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начин обавештавања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предлагача пројеката о одлуци о одобравању подршке</w:t>
      </w:r>
      <w:r>
        <w:rPr>
          <w:rFonts w:hint="default" w:ascii="Times New Roman" w:hAnsi="Times New Roman" w:cs="Times New Roman"/>
          <w:color w:val="auto"/>
          <w:lang w:val="sr-Cyrl-BA"/>
        </w:rPr>
        <w:t>: објавом на званичној интернет презентацији општине Србобран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начин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обавештавања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шире јавности о одлуци о одобравању подршке</w:t>
      </w:r>
      <w:r>
        <w:rPr>
          <w:rFonts w:hint="default" w:ascii="Times New Roman" w:hAnsi="Times New Roman" w:cs="Times New Roman"/>
          <w:color w:val="auto"/>
          <w:lang w:val="sr-Cyrl-BA"/>
        </w:rPr>
        <w:t>: објавом на званичној интернет презентацији општине Србобран</w:t>
      </w:r>
    </w:p>
    <w:p>
      <w:pPr>
        <w:pStyle w:val="7"/>
        <w:numPr>
          <w:ilvl w:val="0"/>
          <w:numId w:val="0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 w:leftChars="0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</w:p>
    <w:sectPr>
      <w:pgSz w:w="11906" w:h="16838"/>
      <w:pgMar w:top="1134" w:right="1134" w:bottom="1134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nion Pro">
    <w:altName w:val="Segoe Print"/>
    <w:panose1 w:val="02040503050201020203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panose1 w:val="020B0503030403020204"/>
    <w:charset w:val="00"/>
    <w:family w:val="swiss"/>
    <w:pitch w:val="default"/>
    <w:sig w:usb0="00000000" w:usb1="00000000" w:usb2="00000000" w:usb3="00000000" w:csb0="0000009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F420E8"/>
    <w:multiLevelType w:val="multilevel"/>
    <w:tmpl w:val="13F420E8"/>
    <w:lvl w:ilvl="0" w:tentative="0">
      <w:start w:val="1"/>
      <w:numFmt w:val="decimal"/>
      <w:lvlText w:val="%1."/>
      <w:lvlJc w:val="left"/>
      <w:pPr>
        <w:ind w:left="1344" w:hanging="360"/>
      </w:pPr>
    </w:lvl>
    <w:lvl w:ilvl="1" w:tentative="0">
      <w:start w:val="1"/>
      <w:numFmt w:val="lowerLetter"/>
      <w:lvlText w:val="%2."/>
      <w:lvlJc w:val="left"/>
      <w:pPr>
        <w:ind w:left="2064" w:hanging="360"/>
      </w:pPr>
    </w:lvl>
    <w:lvl w:ilvl="2" w:tentative="0">
      <w:start w:val="1"/>
      <w:numFmt w:val="lowerRoman"/>
      <w:lvlText w:val="%3."/>
      <w:lvlJc w:val="right"/>
      <w:pPr>
        <w:ind w:left="2784" w:hanging="180"/>
      </w:pPr>
    </w:lvl>
    <w:lvl w:ilvl="3" w:tentative="0">
      <w:start w:val="1"/>
      <w:numFmt w:val="decimal"/>
      <w:lvlText w:val="%4."/>
      <w:lvlJc w:val="left"/>
      <w:pPr>
        <w:ind w:left="3504" w:hanging="360"/>
      </w:pPr>
    </w:lvl>
    <w:lvl w:ilvl="4" w:tentative="0">
      <w:start w:val="1"/>
      <w:numFmt w:val="lowerLetter"/>
      <w:lvlText w:val="%5."/>
      <w:lvlJc w:val="left"/>
      <w:pPr>
        <w:ind w:left="4224" w:hanging="360"/>
      </w:pPr>
    </w:lvl>
    <w:lvl w:ilvl="5" w:tentative="0">
      <w:start w:val="1"/>
      <w:numFmt w:val="lowerRoman"/>
      <w:lvlText w:val="%6."/>
      <w:lvlJc w:val="right"/>
      <w:pPr>
        <w:ind w:left="4944" w:hanging="180"/>
      </w:pPr>
    </w:lvl>
    <w:lvl w:ilvl="6" w:tentative="0">
      <w:start w:val="1"/>
      <w:numFmt w:val="decimal"/>
      <w:lvlText w:val="%7."/>
      <w:lvlJc w:val="left"/>
      <w:pPr>
        <w:ind w:left="5664" w:hanging="360"/>
      </w:pPr>
    </w:lvl>
    <w:lvl w:ilvl="7" w:tentative="0">
      <w:start w:val="1"/>
      <w:numFmt w:val="lowerLetter"/>
      <w:lvlText w:val="%8."/>
      <w:lvlJc w:val="left"/>
      <w:pPr>
        <w:ind w:left="6384" w:hanging="360"/>
      </w:pPr>
    </w:lvl>
    <w:lvl w:ilvl="8" w:tentative="0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B2505BC"/>
    <w:multiLevelType w:val="multilevel"/>
    <w:tmpl w:val="1B2505BC"/>
    <w:lvl w:ilvl="0" w:tentative="0">
      <w:start w:val="1"/>
      <w:numFmt w:val="bullet"/>
      <w:lvlText w:val=""/>
      <w:lvlJc w:val="left"/>
      <w:pPr>
        <w:ind w:left="134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2">
    <w:nsid w:val="2439512E"/>
    <w:multiLevelType w:val="multilevel"/>
    <w:tmpl w:val="2439512E"/>
    <w:lvl w:ilvl="0" w:tentative="0">
      <w:start w:val="1"/>
      <w:numFmt w:val="bullet"/>
      <w:lvlText w:val=""/>
      <w:lvlJc w:val="left"/>
      <w:pPr>
        <w:ind w:left="162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3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5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2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9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88" w:hanging="360"/>
      </w:pPr>
      <w:rPr>
        <w:rFonts w:hint="default" w:ascii="Wingdings" w:hAnsi="Wingdings"/>
      </w:rPr>
    </w:lvl>
  </w:abstractNum>
  <w:abstractNum w:abstractNumId="3">
    <w:nsid w:val="2FF507A9"/>
    <w:multiLevelType w:val="multilevel"/>
    <w:tmpl w:val="2FF507A9"/>
    <w:lvl w:ilvl="0" w:tentative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363" w:hanging="360"/>
      </w:pPr>
    </w:lvl>
    <w:lvl w:ilvl="2" w:tentative="0">
      <w:start w:val="1"/>
      <w:numFmt w:val="lowerRoman"/>
      <w:lvlText w:val="%3."/>
      <w:lvlJc w:val="right"/>
      <w:pPr>
        <w:ind w:left="2083" w:hanging="180"/>
      </w:pPr>
    </w:lvl>
    <w:lvl w:ilvl="3" w:tentative="0">
      <w:start w:val="1"/>
      <w:numFmt w:val="decimal"/>
      <w:lvlText w:val="%4."/>
      <w:lvlJc w:val="left"/>
      <w:pPr>
        <w:ind w:left="2803" w:hanging="360"/>
      </w:pPr>
    </w:lvl>
    <w:lvl w:ilvl="4" w:tentative="0">
      <w:start w:val="1"/>
      <w:numFmt w:val="lowerLetter"/>
      <w:lvlText w:val="%5."/>
      <w:lvlJc w:val="left"/>
      <w:pPr>
        <w:ind w:left="3523" w:hanging="360"/>
      </w:pPr>
    </w:lvl>
    <w:lvl w:ilvl="5" w:tentative="0">
      <w:start w:val="1"/>
      <w:numFmt w:val="lowerRoman"/>
      <w:lvlText w:val="%6."/>
      <w:lvlJc w:val="right"/>
      <w:pPr>
        <w:ind w:left="4243" w:hanging="180"/>
      </w:pPr>
    </w:lvl>
    <w:lvl w:ilvl="6" w:tentative="0">
      <w:start w:val="1"/>
      <w:numFmt w:val="decimal"/>
      <w:lvlText w:val="%7."/>
      <w:lvlJc w:val="left"/>
      <w:pPr>
        <w:ind w:left="4963" w:hanging="360"/>
      </w:pPr>
    </w:lvl>
    <w:lvl w:ilvl="7" w:tentative="0">
      <w:start w:val="1"/>
      <w:numFmt w:val="lowerLetter"/>
      <w:lvlText w:val="%8."/>
      <w:lvlJc w:val="left"/>
      <w:pPr>
        <w:ind w:left="5683" w:hanging="360"/>
      </w:pPr>
    </w:lvl>
    <w:lvl w:ilvl="8" w:tentative="0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C62332F"/>
    <w:multiLevelType w:val="multilevel"/>
    <w:tmpl w:val="6C62332F"/>
    <w:lvl w:ilvl="0" w:tentative="0">
      <w:start w:val="1"/>
      <w:numFmt w:val="bullet"/>
      <w:lvlText w:val=""/>
      <w:lvlJc w:val="left"/>
      <w:pPr>
        <w:ind w:left="162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3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5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2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9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BD5"/>
    <w:rsid w:val="00084310"/>
    <w:rsid w:val="00142A14"/>
    <w:rsid w:val="001E13F3"/>
    <w:rsid w:val="00214A94"/>
    <w:rsid w:val="002A2BD5"/>
    <w:rsid w:val="003A5F53"/>
    <w:rsid w:val="004C6C06"/>
    <w:rsid w:val="00607519"/>
    <w:rsid w:val="008D0AB4"/>
    <w:rsid w:val="0090293D"/>
    <w:rsid w:val="0095190B"/>
    <w:rsid w:val="009F428A"/>
    <w:rsid w:val="00A014A1"/>
    <w:rsid w:val="00A34F2D"/>
    <w:rsid w:val="00D73D47"/>
    <w:rsid w:val="00E92682"/>
    <w:rsid w:val="00EB76FC"/>
    <w:rsid w:val="00EF2457"/>
    <w:rsid w:val="00FB02E9"/>
    <w:rsid w:val="03430C9F"/>
    <w:rsid w:val="0E014170"/>
    <w:rsid w:val="32526C1A"/>
    <w:rsid w:val="38C37FC9"/>
    <w:rsid w:val="39063626"/>
    <w:rsid w:val="4D845355"/>
    <w:rsid w:val="4EE3269C"/>
    <w:rsid w:val="7FD8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qFormat/>
    <w:uiPriority w:val="99"/>
    <w:rPr>
      <w:w w:val="100"/>
      <w:vertAlign w:val="superscript"/>
    </w:rPr>
  </w:style>
  <w:style w:type="paragraph" w:customStyle="1" w:styleId="5">
    <w:name w:val="Tekst"/>
    <w:basedOn w:val="1"/>
    <w:qFormat/>
    <w:uiPriority w:val="99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6">
    <w:name w:val="Naslov Prilog"/>
    <w:basedOn w:val="1"/>
    <w:qFormat/>
    <w:uiPriority w:val="99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7">
    <w:name w:val="List Paragraph"/>
    <w:basedOn w:val="1"/>
    <w:qFormat/>
    <w:uiPriority w:val="99"/>
    <w:pPr>
      <w:ind w:left="720"/>
      <w:contextualSpacing/>
    </w:pPr>
  </w:style>
  <w:style w:type="paragraph" w:customStyle="1" w:styleId="8">
    <w:name w:val="Nabrajanje 1.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9">
    <w:name w:val="[No Paragraph Style]"/>
    <w:qFormat/>
    <w:uiPriority w:val="0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 w:eastAsiaTheme="minorHAnsi"/>
      <w:color w:val="000000"/>
      <w:sz w:val="24"/>
      <w:szCs w:val="24"/>
      <w:lang w:val="en-US" w:eastAsia="en-US" w:bidi="ar-SA"/>
    </w:rPr>
  </w:style>
  <w:style w:type="paragraph" w:customStyle="1" w:styleId="10">
    <w:name w:val="Tekst ispod naslova"/>
    <w:basedOn w:val="1"/>
    <w:uiPriority w:val="9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11">
    <w:name w:val="Clan naslov"/>
    <w:basedOn w:val="10"/>
    <w:qFormat/>
    <w:uiPriority w:val="99"/>
    <w:pPr>
      <w:ind w:left="0" w:right="0"/>
    </w:pPr>
    <w:rPr>
      <w:i/>
      <w:iCs/>
    </w:rPr>
  </w:style>
  <w:style w:type="paragraph" w:customStyle="1" w:styleId="12">
    <w:name w:val="Clan"/>
    <w:basedOn w:val="1"/>
    <w:uiPriority w:val="9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13">
    <w:name w:val="Nabrajanje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14">
    <w:name w:val="Nabrajanje numeracija"/>
    <w:qFormat/>
    <w:uiPriority w:val="99"/>
    <w:rPr>
      <w:rFonts w:ascii="Minion Pro" w:hAnsi="Minion Pro" w:cs="Minion Pro"/>
      <w:sz w:val="22"/>
      <w:szCs w:val="22"/>
    </w:rPr>
  </w:style>
  <w:style w:type="paragraph" w:customStyle="1" w:styleId="15">
    <w:name w:val="Fusnota"/>
    <w:basedOn w:val="9"/>
    <w:uiPriority w:val="99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16">
    <w:name w:val="Nabrajanje 1.1."/>
    <w:basedOn w:val="13"/>
    <w:qFormat/>
    <w:uiPriority w:val="99"/>
    <w:pPr>
      <w:tabs>
        <w:tab w:val="left" w:pos="907"/>
        <w:tab w:val="clear" w:pos="720"/>
      </w:tabs>
      <w:ind w:left="907"/>
    </w:pPr>
  </w:style>
  <w:style w:type="paragraph" w:customStyle="1" w:styleId="17">
    <w:name w:val="Nabrajanje 1.1. - 1."/>
    <w:basedOn w:val="16"/>
    <w:qFormat/>
    <w:uiPriority w:val="99"/>
  </w:style>
  <w:style w:type="paragraph" w:customStyle="1" w:styleId="18">
    <w:name w:val="Nabrajanje 1.1.1."/>
    <w:basedOn w:val="16"/>
    <w:qFormat/>
    <w:uiPriority w:val="99"/>
    <w:pPr>
      <w:ind w:left="1191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126349-6651-214C-858D-294556667C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887</Words>
  <Characters>5056</Characters>
  <Lines>42</Lines>
  <Paragraphs>11</Paragraphs>
  <TotalTime>0</TotalTime>
  <ScaleCrop>false</ScaleCrop>
  <LinksUpToDate>false</LinksUpToDate>
  <CharactersWithSpaces>5932</CharactersWithSpaces>
  <Application>WPS Office_11.2.0.10132_F1E327BC-269C-435d-A152-05C5408002CA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2019-10-21T10:50:00Z</dcterms:created>
  <dc:creator>Microsoft Office User</dc:creator>
  <cp:lastModifiedBy>Korisnik</cp:lastModifiedBy>
  <dcterms:modified xsi:type="dcterms:W3CDTF">2021-05-25T12:29:21Z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